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2CAA" w:rsidRPr="001C162F" w:rsidRDefault="00C72CAA" w:rsidP="00C72CAA">
      <w:pPr>
        <w:autoSpaceDE w:val="0"/>
        <w:autoSpaceDN w:val="0"/>
        <w:adjustRightInd w:val="0"/>
        <w:jc w:val="center"/>
        <w:rPr>
          <w:rFonts w:cstheme="minorHAnsi"/>
          <w:color w:val="000000" w:themeColor="text1"/>
          <w:lang w:val="en-US"/>
        </w:rPr>
      </w:pPr>
      <w:r w:rsidRPr="001C162F">
        <w:rPr>
          <w:rFonts w:cstheme="minorHAnsi"/>
          <w:bCs/>
          <w:color w:val="000000" w:themeColor="text1"/>
          <w:lang w:val="en-US"/>
        </w:rPr>
        <w:t>Reference PREGNANCY</w:t>
      </w:r>
      <w:r w:rsidRPr="001C162F">
        <w:rPr>
          <w:rFonts w:cstheme="minorHAnsi"/>
          <w:color w:val="000000" w:themeColor="text1"/>
          <w:lang w:val="en-US"/>
        </w:rPr>
        <w:t xml:space="preserve"> &lt;36 w &amp; OSTEOPATHY Colette </w:t>
      </w:r>
      <w:r>
        <w:rPr>
          <w:rFonts w:cstheme="minorHAnsi"/>
          <w:color w:val="000000" w:themeColor="text1"/>
          <w:lang w:val="en-US"/>
        </w:rPr>
        <w:t>P</w:t>
      </w:r>
      <w:r w:rsidRPr="001C162F">
        <w:rPr>
          <w:rFonts w:cstheme="minorHAnsi"/>
          <w:color w:val="000000" w:themeColor="text1"/>
          <w:lang w:val="en-US"/>
        </w:rPr>
        <w:t xml:space="preserve">eeters 2019 </w:t>
      </w:r>
    </w:p>
    <w:p w:rsidR="00C72CAA" w:rsidRPr="001C162F" w:rsidRDefault="00C72CAA" w:rsidP="00C72CAA">
      <w:pPr>
        <w:autoSpaceDE w:val="0"/>
        <w:autoSpaceDN w:val="0"/>
        <w:adjustRightInd w:val="0"/>
        <w:jc w:val="center"/>
        <w:rPr>
          <w:rFonts w:cstheme="minorHAnsi"/>
          <w:bCs/>
          <w:color w:val="000000" w:themeColor="text1"/>
          <w:lang w:val="en-US"/>
        </w:rPr>
      </w:pPr>
      <w:r w:rsidRPr="001C162F">
        <w:rPr>
          <w:rFonts w:cstheme="minorHAnsi"/>
          <w:bCs/>
          <w:color w:val="000000" w:themeColor="text1"/>
          <w:lang w:val="en-US"/>
        </w:rPr>
        <w:t xml:space="preserve">PAM osteopathie bij kinderen </w:t>
      </w:r>
    </w:p>
    <w:p w:rsidR="00C72CAA" w:rsidRPr="00DC24BC" w:rsidRDefault="00C72CAA" w:rsidP="00C72CAA">
      <w:pPr>
        <w:autoSpaceDE w:val="0"/>
        <w:autoSpaceDN w:val="0"/>
        <w:adjustRightInd w:val="0"/>
        <w:rPr>
          <w:rFonts w:cstheme="minorHAnsi"/>
          <w:b/>
          <w:bCs/>
          <w:color w:val="FB02FF"/>
          <w:sz w:val="20"/>
          <w:szCs w:val="20"/>
          <w:lang w:val="en-US"/>
        </w:rPr>
      </w:pP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Pakrashi. New hysteroscopic techniques for submucosal uterine fibroids Volume 26 Number 4 August 2014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Mark Hans Emanuel, MD, PhD, Gynaecologist New developments in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hysteroscopy .Best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Practice &amp; Research Clinical Obstetrics and Gynaecology 27 (2013) 421–429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Attilio Di Spiezio Sardo1,4, Ivan Mazzon2, Silvia Bramante1, Stefano Bettocchi3, Giuseppe Bifulco1, Maurizio Guida1 and Carmine Nappi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1 .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Hysteroscopic myomectomy: a comprehensive review of surgical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techniques .Human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Reproduction Update, Vol.14, No.2 pp. 101–119, 2008 Advance Access publication December 6, 2007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Ricardo Bassil Lasmar, Ph.D.,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M.D.,a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Zhang Xinmei, M.D.,b Paul D. Indman, M.D.,c,d Roger Keller Celeste, C.D., M.Sc., Ph.D.,e and Attilio Di Spiezio Sardo, M.D., Ph.D.f Feasibility of a new system of classification of submucous myomas: a multicenter study .Fertility and Sterility" Vol. 95, No. 6, May 2011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Marco Noventa, MD1, Emanuele Ancona, MD1, Michela Quaranta, MD2, Amerigo Vitagliano, MD2, Erich Cosmi, MD1, Donato D’Antona, MD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1,and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Salvatore Gizzo, MD1 .Intrauterine Morcellator Devices:The Icon of Hysteroscopic Futureor Merely a Marketing Image?. A Systematic Review Regarding Safety, Efficacy, Advantages, and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Contraindication .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Reproductive Sciences. 2015, Vol. 22(10) 1289-1296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Sarah Cohen, MD,1 James A. Greenberg, MD,2Hysteroscopic Morcellation for Treating Intrauterine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Pathology .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Rev Obstet Gynecol. 2011;4(2):73-80</w:t>
      </w:r>
    </w:p>
    <w:p w:rsidR="00C72CAA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Baylis C, Davison J: The urinary system. In chamberlain G, Broughton Pipkin F, editors: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>Clinical physiology in obstetrics</w:t>
      </w:r>
      <w:r w:rsidRPr="001C162F">
        <w:rPr>
          <w:rFonts w:cstheme="minorHAnsi"/>
          <w:color w:val="000000"/>
          <w:sz w:val="20"/>
          <w:szCs w:val="20"/>
          <w:lang w:val="en-US"/>
        </w:rPr>
        <w:t>, Oxford, 1998, Blackwell Science, pp 263 – 307.</w:t>
      </w:r>
    </w:p>
    <w:p w:rsidR="00C72CAA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Blackburn S: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>Maternal, fetal &amp; neonatal physiology</w:t>
      </w:r>
      <w:r w:rsidRPr="001C162F">
        <w:rPr>
          <w:rFonts w:cstheme="minorHAnsi"/>
          <w:color w:val="000000"/>
          <w:sz w:val="20"/>
          <w:szCs w:val="20"/>
          <w:lang w:val="en-US"/>
        </w:rPr>
        <w:t>, Missouri, 2007, Saunders Elsevier.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Burton GJ, Woods AW, Jauniaux E, et al: Rheological and physiological consequences of conversion of the maternal spiral arteries for uteroplacental blood flow during human pregnancy,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>Placenta</w:t>
      </w:r>
      <w:r w:rsidRPr="001C162F">
        <w:rPr>
          <w:rFonts w:cstheme="minorHAnsi"/>
          <w:color w:val="000000"/>
          <w:sz w:val="20"/>
          <w:szCs w:val="20"/>
          <w:lang w:val="en-US"/>
        </w:rPr>
        <w:t xml:space="preserve"> 30:473-482, 2009.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Chapman AB, Abraham WT, Zamudio S, et al: Temporal relationships between hormonal and hemodynamic changes in early pregnancy,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>Kidney International</w:t>
      </w:r>
      <w:r w:rsidRPr="001C162F">
        <w:rPr>
          <w:rFonts w:cstheme="minorHAnsi"/>
          <w:color w:val="000000"/>
          <w:sz w:val="20"/>
          <w:szCs w:val="20"/>
          <w:lang w:val="en-US"/>
        </w:rPr>
        <w:t xml:space="preserve"> 54:2056-2063, 1998.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de Swiet M: the respiratory system. In Hytten F, Chamberlain G, editors: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>Clinical physiology in obstetrics</w:t>
      </w:r>
      <w:r w:rsidRPr="001C162F">
        <w:rPr>
          <w:rFonts w:cstheme="minorHAnsi"/>
          <w:color w:val="000000"/>
          <w:sz w:val="20"/>
          <w:szCs w:val="20"/>
          <w:lang w:val="en-US"/>
        </w:rPr>
        <w:t>, Oxford, 1991a, Blackwell Scientific, pp 83-100.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Douglas AJ: Baby on board: do responses to stress in the maternal brain mediate adverse pregnancy outcome?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Frontiers in Neuroendocrinology </w:t>
      </w:r>
      <w:r w:rsidRPr="001C162F">
        <w:rPr>
          <w:rFonts w:cstheme="minorHAnsi"/>
          <w:color w:val="000000"/>
          <w:sz w:val="20"/>
          <w:szCs w:val="20"/>
          <w:lang w:val="en-US"/>
        </w:rPr>
        <w:t>31(3):359-376, 2010.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Duvekot JJ, Cheriex EC, Pieters FAA, et al: Maternal volume homeostasis in early pregnancy in relation to fetal growth restriction,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Obstetrics and Gynecology </w:t>
      </w:r>
      <w:r w:rsidRPr="001C162F">
        <w:rPr>
          <w:rFonts w:cstheme="minorHAnsi"/>
          <w:color w:val="000000"/>
          <w:sz w:val="20"/>
          <w:szCs w:val="20"/>
          <w:lang w:val="en-US"/>
        </w:rPr>
        <w:t>85(3):361-367, 1995.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 xml:space="preserve">Hermsteiner M, Zoltan DR, Kunzel W: Human chorionic gonadotrophin attenuates the vascular response to angiotensin II, </w:t>
      </w:r>
      <w:r w:rsidRPr="001C162F">
        <w:rPr>
          <w:rFonts w:cstheme="minorHAnsi"/>
          <w:i/>
          <w:iCs/>
          <w:color w:val="000000"/>
          <w:sz w:val="20"/>
          <w:szCs w:val="20"/>
          <w:lang w:val="en-US"/>
        </w:rPr>
        <w:t>European Journal of Obstetrics and Gynaecology and Reproductive Biology</w:t>
      </w:r>
      <w:r w:rsidRPr="001C162F">
        <w:rPr>
          <w:rFonts w:cstheme="minorHAnsi"/>
          <w:color w:val="000000"/>
          <w:sz w:val="20"/>
          <w:szCs w:val="20"/>
          <w:lang w:val="en-US"/>
        </w:rPr>
        <w:t xml:space="preserve"> 102:148-154, 2002.</w:t>
      </w:r>
    </w:p>
    <w:p w:rsidR="00C72CAA" w:rsidRPr="004011B3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Jaffe RB: Neuroendocrine-metabolic regulation of pregnancy. In Yen SSC, Jaffe RB, Barbieri RL, ediotros: </w:t>
      </w:r>
      <w:r w:rsidRPr="00DC24BC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Reproductive Endocrinology, </w:t>
      </w:r>
      <w:r w:rsidRPr="00DC24BC">
        <w:rPr>
          <w:rFonts w:cstheme="minorHAnsi"/>
          <w:color w:val="000000"/>
          <w:sz w:val="20"/>
          <w:szCs w:val="20"/>
          <w:lang w:val="en-US"/>
        </w:rPr>
        <w:t>Philadelphia, 1999, Saunders, p 77</w:t>
      </w:r>
    </w:p>
    <w:p w:rsidR="00C72CAA" w:rsidRPr="001C162F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fr-FR"/>
        </w:rPr>
      </w:pPr>
      <w:r w:rsidRPr="001C162F">
        <w:rPr>
          <w:rFonts w:cstheme="minorHAnsi"/>
          <w:color w:val="000000"/>
          <w:sz w:val="20"/>
          <w:szCs w:val="20"/>
          <w:lang w:val="fr-FR"/>
        </w:rPr>
        <w:t>Ageron-Marque Claudine</w:t>
      </w:r>
      <w:r>
        <w:rPr>
          <w:rFonts w:cstheme="minorHAnsi"/>
          <w:color w:val="000000"/>
          <w:sz w:val="20"/>
          <w:szCs w:val="20"/>
          <w:lang w:val="fr-FR"/>
        </w:rPr>
        <w:t xml:space="preserve"> : </w:t>
      </w:r>
      <w:r w:rsidRPr="001C162F"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1C162F">
        <w:rPr>
          <w:rFonts w:cstheme="minorHAnsi"/>
          <w:i/>
          <w:color w:val="000000"/>
          <w:sz w:val="20"/>
          <w:szCs w:val="20"/>
          <w:lang w:val="fr-FR"/>
        </w:rPr>
        <w:t xml:space="preserve">Guide pratique d’ostéopathie en </w:t>
      </w:r>
      <w:proofErr w:type="gramStart"/>
      <w:r w:rsidRPr="001C162F">
        <w:rPr>
          <w:rFonts w:cstheme="minorHAnsi"/>
          <w:i/>
          <w:color w:val="000000"/>
          <w:sz w:val="20"/>
          <w:szCs w:val="20"/>
          <w:lang w:val="fr-FR"/>
        </w:rPr>
        <w:t>gynécologie</w:t>
      </w:r>
      <w:r>
        <w:rPr>
          <w:rFonts w:cstheme="minorHAnsi"/>
          <w:color w:val="000000"/>
          <w:sz w:val="20"/>
          <w:szCs w:val="20"/>
          <w:lang w:val="fr-FR"/>
        </w:rPr>
        <w:t xml:space="preserve">, </w:t>
      </w:r>
      <w:r w:rsidRPr="001C162F">
        <w:rPr>
          <w:rFonts w:cstheme="minorHAnsi"/>
          <w:color w:val="000000"/>
          <w:sz w:val="20"/>
          <w:szCs w:val="20"/>
          <w:lang w:val="fr-FR"/>
        </w:rPr>
        <w:t xml:space="preserve"> ISBN</w:t>
      </w:r>
      <w:proofErr w:type="gramEnd"/>
      <w:r w:rsidRPr="001C162F">
        <w:rPr>
          <w:rFonts w:cstheme="minorHAnsi"/>
          <w:color w:val="000000"/>
          <w:sz w:val="20"/>
          <w:szCs w:val="20"/>
          <w:lang w:val="fr-FR"/>
        </w:rPr>
        <w:t xml:space="preserve"> 2-87293-058-2</w:t>
      </w:r>
    </w:p>
    <w:p w:rsidR="00C72CAA" w:rsidRPr="001C162F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C162F">
        <w:rPr>
          <w:rFonts w:cstheme="minorHAnsi"/>
          <w:color w:val="000000"/>
          <w:sz w:val="20"/>
          <w:szCs w:val="20"/>
          <w:lang w:val="en-US"/>
        </w:rPr>
        <w:t>Stone Caroline A</w:t>
      </w:r>
      <w:r w:rsidRPr="001C162F">
        <w:rPr>
          <w:rFonts w:cstheme="minorHAnsi"/>
          <w:i/>
          <w:color w:val="000000"/>
          <w:sz w:val="20"/>
          <w:szCs w:val="20"/>
          <w:lang w:val="en-US"/>
        </w:rPr>
        <w:t>:  Visceral and Obstretic Osteopathy</w:t>
      </w:r>
      <w:r>
        <w:rPr>
          <w:rFonts w:cstheme="minorHAnsi"/>
          <w:color w:val="000000"/>
          <w:sz w:val="20"/>
          <w:szCs w:val="20"/>
          <w:lang w:val="en-US"/>
        </w:rPr>
        <w:t xml:space="preserve"> </w:t>
      </w:r>
      <w:r w:rsidRPr="001C162F">
        <w:rPr>
          <w:rFonts w:cstheme="minorHAnsi"/>
          <w:color w:val="000000"/>
          <w:sz w:val="20"/>
          <w:szCs w:val="20"/>
          <w:lang w:val="en-US"/>
        </w:rPr>
        <w:t>SBN 0-443-10202-3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fr-FR"/>
        </w:rPr>
      </w:pPr>
      <w:r w:rsidRPr="00DC24BC">
        <w:rPr>
          <w:rFonts w:cstheme="minorHAnsi"/>
          <w:color w:val="000000"/>
          <w:sz w:val="20"/>
          <w:szCs w:val="20"/>
          <w:lang w:val="fr-FR"/>
        </w:rPr>
        <w:t xml:space="preserve">Conjeaud Bruno Grossesse, </w:t>
      </w:r>
      <w:r w:rsidRPr="001C162F">
        <w:rPr>
          <w:rFonts w:cstheme="minorHAnsi"/>
          <w:i/>
          <w:color w:val="000000"/>
          <w:sz w:val="20"/>
          <w:szCs w:val="20"/>
          <w:lang w:val="fr-FR"/>
        </w:rPr>
        <w:t>Hormones et Ostéopatie</w:t>
      </w:r>
      <w:r w:rsidRPr="00DC24BC">
        <w:rPr>
          <w:rFonts w:cstheme="minorHAnsi"/>
          <w:color w:val="000000"/>
          <w:sz w:val="20"/>
          <w:szCs w:val="20"/>
          <w:lang w:val="fr-FR"/>
        </w:rPr>
        <w:t>, Le “Syndrome du rez-de-chaussée”</w:t>
      </w:r>
    </w:p>
    <w:p w:rsidR="00C72CAA" w:rsidRPr="001C162F" w:rsidRDefault="00C72CAA" w:rsidP="00C72CAA">
      <w:pPr>
        <w:pStyle w:val="Lijstalinea"/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fr-FR"/>
        </w:rPr>
      </w:pPr>
      <w:r w:rsidRPr="00DC24BC">
        <w:rPr>
          <w:rFonts w:cstheme="minorHAnsi"/>
          <w:color w:val="000000"/>
          <w:sz w:val="20"/>
          <w:szCs w:val="20"/>
          <w:lang w:val="fr-FR"/>
        </w:rPr>
        <w:t>, Préface de Pierre Tricot</w:t>
      </w:r>
      <w:r w:rsidRPr="001C162F">
        <w:rPr>
          <w:rFonts w:cstheme="minorHAnsi"/>
          <w:color w:val="000000"/>
          <w:sz w:val="20"/>
          <w:szCs w:val="20"/>
          <w:lang w:val="fr-FR"/>
        </w:rPr>
        <w:t xml:space="preserve"> ISBN 2-911074-85-8</w:t>
      </w:r>
    </w:p>
    <w:p w:rsidR="00C72CAA" w:rsidRPr="001C162F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fr-FR"/>
        </w:rPr>
      </w:pPr>
      <w:r w:rsidRPr="001C162F">
        <w:rPr>
          <w:rFonts w:cstheme="minorHAnsi"/>
          <w:color w:val="000000"/>
          <w:sz w:val="20"/>
          <w:szCs w:val="20"/>
          <w:lang w:val="fr-FR"/>
        </w:rPr>
        <w:t xml:space="preserve">Boudéhen Gilles </w:t>
      </w:r>
      <w:r w:rsidRPr="001C162F">
        <w:rPr>
          <w:rFonts w:cstheme="minorHAnsi"/>
          <w:i/>
          <w:color w:val="000000"/>
          <w:sz w:val="20"/>
          <w:szCs w:val="20"/>
          <w:lang w:val="fr-FR"/>
        </w:rPr>
        <w:t>Ostéopathie crânienne structurelle</w:t>
      </w:r>
      <w:r w:rsidRPr="001C162F">
        <w:rPr>
          <w:rFonts w:cstheme="minorHAnsi"/>
          <w:color w:val="000000"/>
          <w:sz w:val="20"/>
          <w:szCs w:val="20"/>
          <w:lang w:val="fr-FR"/>
        </w:rPr>
        <w:t xml:space="preserve"> ISBN 978-2-35432-065-2</w:t>
      </w:r>
    </w:p>
    <w:p w:rsidR="00C72CAA" w:rsidRPr="00EE1FA5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fr-FR"/>
        </w:rPr>
      </w:pPr>
      <w:r w:rsidRPr="00DC24BC">
        <w:rPr>
          <w:rFonts w:cstheme="minorHAnsi"/>
          <w:color w:val="000000"/>
          <w:sz w:val="20"/>
          <w:szCs w:val="20"/>
          <w:lang w:val="fr-FR"/>
        </w:rPr>
        <w:t>Boudéhen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 xml:space="preserve">Gilles </w:t>
      </w:r>
      <w:r w:rsidRPr="00EE1FA5">
        <w:rPr>
          <w:rFonts w:cstheme="minorHAnsi"/>
          <w:i/>
          <w:color w:val="000000"/>
          <w:sz w:val="20"/>
          <w:szCs w:val="20"/>
          <w:lang w:val="fr-FR"/>
        </w:rPr>
        <w:t>Protocole de soins ostéopahiques du bébé et de l’enfant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. </w:t>
      </w:r>
      <w:r w:rsidRPr="00EE1FA5">
        <w:rPr>
          <w:rFonts w:cstheme="minorHAnsi"/>
          <w:color w:val="000000"/>
          <w:sz w:val="20"/>
          <w:szCs w:val="20"/>
          <w:lang w:val="fr-FR"/>
        </w:rPr>
        <w:t>Préface de Pr Jean-Pierre Relier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EE1FA5">
        <w:rPr>
          <w:rFonts w:cstheme="minorHAnsi"/>
          <w:color w:val="000000"/>
          <w:sz w:val="20"/>
          <w:szCs w:val="20"/>
        </w:rPr>
        <w:t>ISBN 978-2-35432-105-5</w:t>
      </w:r>
    </w:p>
    <w:p w:rsidR="00C72CAA" w:rsidRPr="00EE1FA5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fr-FR"/>
        </w:rPr>
      </w:pPr>
      <w:r w:rsidRPr="00DC24BC">
        <w:rPr>
          <w:rFonts w:cstheme="minorHAnsi"/>
          <w:color w:val="000000"/>
          <w:sz w:val="20"/>
          <w:szCs w:val="20"/>
          <w:lang w:val="fr-FR"/>
        </w:rPr>
        <w:t>Ferru</w:t>
      </w:r>
      <w:r w:rsidRPr="00EE1FA5"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>Bernard</w:t>
      </w:r>
      <w:r>
        <w:rPr>
          <w:rFonts w:cstheme="minorHAnsi"/>
          <w:color w:val="000000"/>
          <w:sz w:val="20"/>
          <w:szCs w:val="20"/>
          <w:lang w:val="fr-FR"/>
        </w:rPr>
        <w:t xml:space="preserve"> : </w:t>
      </w:r>
      <w:r w:rsidRPr="00EE1FA5">
        <w:rPr>
          <w:rFonts w:cstheme="minorHAnsi"/>
          <w:i/>
          <w:color w:val="000000"/>
          <w:sz w:val="20"/>
          <w:szCs w:val="20"/>
          <w:lang w:val="fr-FR"/>
        </w:rPr>
        <w:t>Ostéopathie et Grossesse</w:t>
      </w:r>
      <w:r>
        <w:rPr>
          <w:rFonts w:cstheme="minorHAnsi"/>
          <w:i/>
          <w:color w:val="000000"/>
          <w:sz w:val="20"/>
          <w:szCs w:val="20"/>
          <w:lang w:val="fr-FR"/>
        </w:rPr>
        <w:t>.</w:t>
      </w:r>
      <w:r w:rsidRPr="00EE1FA5">
        <w:rPr>
          <w:rFonts w:cstheme="minorHAnsi"/>
          <w:color w:val="000000"/>
          <w:sz w:val="20"/>
          <w:szCs w:val="20"/>
          <w:lang w:val="fr-FR"/>
        </w:rPr>
        <w:t>Préface de François Bel</w:t>
      </w:r>
      <w:r>
        <w:rPr>
          <w:rFonts w:cstheme="minorHAnsi"/>
          <w:color w:val="000000"/>
          <w:sz w:val="20"/>
          <w:szCs w:val="20"/>
          <w:lang w:val="fr-FR"/>
        </w:rPr>
        <w:t xml:space="preserve">. </w:t>
      </w:r>
      <w:r w:rsidRPr="00EE1FA5">
        <w:rPr>
          <w:rFonts w:cstheme="minorHAnsi"/>
          <w:color w:val="000000"/>
          <w:sz w:val="20"/>
          <w:szCs w:val="20"/>
        </w:rPr>
        <w:t>ISBN 979-10-92847-07-9</w:t>
      </w:r>
    </w:p>
    <w:p w:rsidR="00C72CAA" w:rsidRPr="00EE1FA5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fr-FR"/>
        </w:rPr>
      </w:pPr>
      <w:r w:rsidRPr="00EE1FA5">
        <w:rPr>
          <w:rFonts w:cstheme="minorHAnsi"/>
          <w:color w:val="000000"/>
          <w:sz w:val="20"/>
          <w:szCs w:val="20"/>
          <w:lang w:val="fr-FR"/>
        </w:rPr>
        <w:t xml:space="preserve">Bazin </w:t>
      </w:r>
      <w:proofErr w:type="gramStart"/>
      <w:r w:rsidRPr="00EE1FA5">
        <w:rPr>
          <w:rFonts w:cstheme="minorHAnsi"/>
          <w:color w:val="000000"/>
          <w:sz w:val="20"/>
          <w:szCs w:val="20"/>
          <w:lang w:val="fr-FR"/>
        </w:rPr>
        <w:t>Olivier ,</w:t>
      </w:r>
      <w:proofErr w:type="gramEnd"/>
      <w:r w:rsidRPr="00EE1FA5">
        <w:rPr>
          <w:rFonts w:cstheme="minorHAnsi"/>
          <w:color w:val="000000"/>
          <w:sz w:val="20"/>
          <w:szCs w:val="20"/>
          <w:lang w:val="fr-FR"/>
        </w:rPr>
        <w:t xml:space="preserve"> Naudin Marc: </w:t>
      </w:r>
      <w:r w:rsidRPr="00EE1FA5">
        <w:rPr>
          <w:rFonts w:cstheme="minorHAnsi"/>
          <w:i/>
          <w:color w:val="000000"/>
          <w:sz w:val="20"/>
          <w:szCs w:val="20"/>
          <w:lang w:val="fr-FR"/>
        </w:rPr>
        <w:t>Manipulations des dysfonctions pelviennes féminines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 </w:t>
      </w:r>
      <w:r w:rsidRPr="00EE1FA5">
        <w:rPr>
          <w:rFonts w:cstheme="minorHAnsi"/>
          <w:color w:val="000000"/>
          <w:sz w:val="20"/>
          <w:szCs w:val="20"/>
          <w:lang w:val="fr-FR"/>
        </w:rPr>
        <w:t>ISBN 978-2-294-71250-0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fr-FR"/>
        </w:rPr>
      </w:pPr>
      <w:r w:rsidRPr="003B6C2C">
        <w:rPr>
          <w:rFonts w:cstheme="minorHAnsi"/>
          <w:color w:val="000000"/>
          <w:sz w:val="20"/>
          <w:szCs w:val="20"/>
          <w:lang w:val="fr-FR"/>
        </w:rPr>
        <w:t xml:space="preserve">Saby   Jean-Paul. </w:t>
      </w:r>
      <w:r w:rsidRPr="003B6C2C">
        <w:rPr>
          <w:rFonts w:cstheme="minorHAnsi"/>
          <w:i/>
          <w:color w:val="000000"/>
          <w:sz w:val="20"/>
          <w:szCs w:val="20"/>
          <w:lang w:val="fr-FR"/>
        </w:rPr>
        <w:t>Bien naître par l’ostéopathie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 </w:t>
      </w:r>
      <w:r w:rsidRPr="003B6C2C">
        <w:rPr>
          <w:rFonts w:cstheme="minorHAnsi"/>
          <w:color w:val="000000"/>
          <w:sz w:val="20"/>
          <w:szCs w:val="20"/>
          <w:lang w:val="fr-FR"/>
        </w:rPr>
        <w:t>ISBN 978-2-35432-093-5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Spitz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Bernard, Van Calsteren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 xml:space="preserve">Kristel, Verhaeghe Johan </w:t>
      </w:r>
      <w:r w:rsidRPr="003B6C2C">
        <w:rPr>
          <w:rFonts w:cstheme="minorHAnsi"/>
          <w:i/>
          <w:color w:val="000000"/>
          <w:sz w:val="20"/>
          <w:szCs w:val="20"/>
        </w:rPr>
        <w:t>Verloskunde, praktijkboek voor artsen en vroedvrouwen</w:t>
      </w:r>
      <w:r>
        <w:rPr>
          <w:rFonts w:cstheme="minorHAnsi"/>
          <w:i/>
          <w:color w:val="000000"/>
          <w:sz w:val="20"/>
          <w:szCs w:val="20"/>
        </w:rPr>
        <w:t xml:space="preserve"> </w:t>
      </w:r>
      <w:r w:rsidRPr="003B6C2C">
        <w:rPr>
          <w:rFonts w:cstheme="minorHAnsi"/>
          <w:color w:val="000000"/>
          <w:sz w:val="20"/>
          <w:szCs w:val="20"/>
        </w:rPr>
        <w:t>ISBN 978-94-014-1667-2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</w:rPr>
        <w:lastRenderedPageBreak/>
        <w:t>Shamir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Raanan, van Elburg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Ruurd, Knol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Jan, Dupont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Christophe</w:t>
      </w:r>
      <w:r>
        <w:rPr>
          <w:rFonts w:cstheme="minorHAnsi"/>
          <w:color w:val="000000"/>
          <w:sz w:val="20"/>
          <w:szCs w:val="20"/>
        </w:rPr>
        <w:t xml:space="preserve">. </w:t>
      </w:r>
      <w:r w:rsidRPr="003B6C2C">
        <w:rPr>
          <w:rFonts w:cstheme="minorHAnsi"/>
          <w:i/>
          <w:color w:val="000000"/>
          <w:sz w:val="20"/>
          <w:szCs w:val="20"/>
          <w:lang w:val="en-US"/>
        </w:rPr>
        <w:t>Gut Health in Early Life: Significance of the Fut Microbiota and     Nutrition for Development and Future Health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nl-BE"/>
        </w:rPr>
      </w:pPr>
      <w:r w:rsidRPr="003B6C2C">
        <w:rPr>
          <w:rFonts w:cstheme="minorHAnsi"/>
          <w:color w:val="000000"/>
          <w:sz w:val="20"/>
          <w:szCs w:val="20"/>
          <w:lang w:val="en-US"/>
        </w:rPr>
        <w:t xml:space="preserve">Mohrbacher </w:t>
      </w:r>
      <w:proofErr w:type="gramStart"/>
      <w:r w:rsidRPr="003B6C2C">
        <w:rPr>
          <w:rFonts w:cstheme="minorHAnsi"/>
          <w:color w:val="000000"/>
          <w:sz w:val="20"/>
          <w:szCs w:val="20"/>
          <w:lang w:val="en-US"/>
        </w:rPr>
        <w:t>Nancy ,</w:t>
      </w:r>
      <w:proofErr w:type="gramEnd"/>
      <w:r w:rsidRPr="003B6C2C">
        <w:rPr>
          <w:rFonts w:cstheme="minorHAnsi"/>
          <w:color w:val="000000"/>
          <w:sz w:val="20"/>
          <w:szCs w:val="20"/>
          <w:lang w:val="en-US"/>
        </w:rPr>
        <w:t xml:space="preserve"> Kendall-Tacket Kathleen. </w:t>
      </w:r>
      <w:r w:rsidRPr="003B6C2C">
        <w:rPr>
          <w:rFonts w:cstheme="minorHAnsi"/>
          <w:i/>
          <w:color w:val="000000"/>
          <w:sz w:val="20"/>
          <w:szCs w:val="20"/>
        </w:rPr>
        <w:t>Borstvoeding natuurlijk eenvoudig</w:t>
      </w:r>
      <w:r w:rsidRPr="003B6C2C">
        <w:rPr>
          <w:rFonts w:cstheme="minorHAnsi"/>
          <w:color w:val="000000"/>
          <w:sz w:val="20"/>
          <w:szCs w:val="20"/>
          <w:lang w:val="nl-BE"/>
        </w:rPr>
        <w:t xml:space="preserve"> </w:t>
      </w:r>
      <w:r w:rsidRPr="003B6C2C">
        <w:rPr>
          <w:rFonts w:cstheme="minorHAnsi"/>
          <w:color w:val="000000"/>
          <w:sz w:val="20"/>
          <w:szCs w:val="20"/>
        </w:rPr>
        <w:t>ISBN 978-90-441-2509-2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Bardacke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Nancy</w:t>
      </w:r>
      <w:r>
        <w:rPr>
          <w:rFonts w:cstheme="minorHAnsi"/>
          <w:color w:val="000000"/>
          <w:sz w:val="20"/>
          <w:szCs w:val="20"/>
        </w:rPr>
        <w:t xml:space="preserve">. </w:t>
      </w:r>
      <w:r w:rsidRPr="003B6C2C">
        <w:rPr>
          <w:rFonts w:cstheme="minorHAnsi"/>
          <w:i/>
          <w:color w:val="000000"/>
          <w:sz w:val="20"/>
          <w:szCs w:val="20"/>
        </w:rPr>
        <w:t>Mindful bevallen</w:t>
      </w:r>
      <w:r>
        <w:rPr>
          <w:rFonts w:cstheme="minorHAnsi"/>
          <w:i/>
          <w:color w:val="000000"/>
          <w:sz w:val="20"/>
          <w:szCs w:val="20"/>
        </w:rPr>
        <w:t xml:space="preserve">. </w:t>
      </w:r>
      <w:r w:rsidRPr="003B6C2C">
        <w:rPr>
          <w:rFonts w:cstheme="minorHAnsi"/>
          <w:color w:val="000000"/>
          <w:sz w:val="20"/>
          <w:szCs w:val="20"/>
        </w:rPr>
        <w:t>ISBN 978-94-013-0075-9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Van Kampen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Marijke</w:t>
      </w:r>
      <w:r>
        <w:rPr>
          <w:rFonts w:cstheme="minorHAnsi"/>
          <w:color w:val="000000"/>
          <w:sz w:val="20"/>
          <w:szCs w:val="20"/>
        </w:rPr>
        <w:t>.</w:t>
      </w:r>
      <w:r w:rsidRPr="00DC24BC">
        <w:rPr>
          <w:rFonts w:cstheme="minorHAnsi"/>
          <w:color w:val="000000"/>
          <w:sz w:val="20"/>
          <w:szCs w:val="20"/>
        </w:rPr>
        <w:t xml:space="preserve"> </w:t>
      </w:r>
      <w:r w:rsidRPr="003B6C2C">
        <w:rPr>
          <w:rFonts w:cstheme="minorHAnsi"/>
          <w:i/>
          <w:color w:val="000000"/>
          <w:sz w:val="20"/>
          <w:szCs w:val="20"/>
        </w:rPr>
        <w:t>Urine-incontinentie en andere klachten in de bekkenregi</w:t>
      </w:r>
      <w:r>
        <w:rPr>
          <w:rFonts w:cstheme="minorHAnsi"/>
          <w:i/>
          <w:color w:val="000000"/>
          <w:sz w:val="20"/>
          <w:szCs w:val="20"/>
        </w:rPr>
        <w:t xml:space="preserve">o. </w:t>
      </w:r>
      <w:r w:rsidRPr="003B6C2C">
        <w:rPr>
          <w:rFonts w:cstheme="minorHAnsi"/>
          <w:color w:val="000000"/>
          <w:sz w:val="20"/>
          <w:szCs w:val="20"/>
        </w:rPr>
        <w:t>ISBN 978-90-334-9564-9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Verhoeven</w:t>
      </w:r>
      <w:r w:rsidRPr="003B6C2C"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>Liesbeth</w:t>
      </w:r>
      <w:r w:rsidRPr="003B6C2C">
        <w:rPr>
          <w:rFonts w:cstheme="minorHAnsi"/>
          <w:i/>
          <w:color w:val="000000"/>
          <w:sz w:val="20"/>
          <w:szCs w:val="20"/>
        </w:rPr>
        <w:t>. Stap voor stap, Hoe stimuleer je de motorische ontwikkeling van je kind</w:t>
      </w:r>
      <w:r>
        <w:rPr>
          <w:rFonts w:cstheme="minorHAnsi"/>
          <w:i/>
          <w:color w:val="000000"/>
          <w:sz w:val="20"/>
          <w:szCs w:val="20"/>
        </w:rPr>
        <w:t xml:space="preserve"> </w:t>
      </w:r>
      <w:r w:rsidRPr="003B6C2C">
        <w:rPr>
          <w:rFonts w:cstheme="minorHAnsi"/>
          <w:color w:val="000000"/>
          <w:sz w:val="20"/>
          <w:szCs w:val="20"/>
        </w:rPr>
        <w:t>ISBN 978-90-209-9190-1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fr-FR"/>
        </w:rPr>
      </w:pPr>
      <w:r w:rsidRPr="00DC24BC">
        <w:rPr>
          <w:rFonts w:cstheme="minorHAnsi"/>
          <w:color w:val="000000"/>
          <w:sz w:val="20"/>
          <w:szCs w:val="20"/>
          <w:lang w:val="fr-FR"/>
        </w:rPr>
        <w:t>Bonneau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>D., Mares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>P., Vautravers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 xml:space="preserve">P., </w:t>
      </w:r>
      <w:proofErr w:type="gramStart"/>
      <w:r w:rsidRPr="00DC24BC">
        <w:rPr>
          <w:rFonts w:cstheme="minorHAnsi"/>
          <w:color w:val="000000"/>
          <w:sz w:val="20"/>
          <w:szCs w:val="20"/>
          <w:lang w:val="fr-FR"/>
        </w:rPr>
        <w:t>Hérisson</w:t>
      </w:r>
      <w:r>
        <w:rPr>
          <w:rFonts w:cstheme="minorHAnsi"/>
          <w:color w:val="000000"/>
          <w:sz w:val="20"/>
          <w:szCs w:val="20"/>
          <w:lang w:val="fr-FR"/>
        </w:rPr>
        <w:t xml:space="preserve">  </w:t>
      </w:r>
      <w:r w:rsidRPr="00DC24BC">
        <w:rPr>
          <w:rFonts w:cstheme="minorHAnsi"/>
          <w:color w:val="000000"/>
          <w:sz w:val="20"/>
          <w:szCs w:val="20"/>
          <w:lang w:val="fr-FR"/>
        </w:rPr>
        <w:t>C.</w:t>
      </w:r>
      <w:r>
        <w:rPr>
          <w:rFonts w:cstheme="minorHAnsi"/>
          <w:color w:val="000000"/>
          <w:sz w:val="20"/>
          <w:szCs w:val="20"/>
          <w:lang w:val="fr-FR"/>
        </w:rPr>
        <w:t>.</w:t>
      </w:r>
      <w:proofErr w:type="gramEnd"/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3B6C2C">
        <w:rPr>
          <w:rFonts w:cstheme="minorHAnsi"/>
          <w:i/>
          <w:color w:val="000000"/>
          <w:sz w:val="20"/>
          <w:szCs w:val="20"/>
          <w:lang w:val="fr-FR"/>
        </w:rPr>
        <w:t>Algies pelvi-périnéales et Thérapies manuelles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. </w:t>
      </w:r>
      <w:r w:rsidRPr="003B6C2C">
        <w:rPr>
          <w:rFonts w:cstheme="minorHAnsi"/>
          <w:color w:val="000000"/>
          <w:sz w:val="20"/>
          <w:szCs w:val="20"/>
        </w:rPr>
        <w:t>ISBN 978-2-84023-720-4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fr-FR"/>
        </w:rPr>
      </w:pPr>
      <w:r w:rsidRPr="00DC24BC">
        <w:rPr>
          <w:rFonts w:cstheme="minorHAnsi"/>
          <w:color w:val="000000"/>
          <w:sz w:val="20"/>
          <w:szCs w:val="20"/>
          <w:lang w:val="fr-FR"/>
        </w:rPr>
        <w:t>Calais-Germain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>Blandine, Vives Parés</w:t>
      </w:r>
      <w:r w:rsidRPr="003B6C2C"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DC24BC">
        <w:rPr>
          <w:rFonts w:cstheme="minorHAnsi"/>
          <w:color w:val="000000"/>
          <w:sz w:val="20"/>
          <w:szCs w:val="20"/>
          <w:lang w:val="fr-FR"/>
        </w:rPr>
        <w:t>Nuria</w:t>
      </w:r>
      <w:r>
        <w:rPr>
          <w:rFonts w:cstheme="minorHAnsi"/>
          <w:color w:val="000000"/>
          <w:sz w:val="20"/>
          <w:szCs w:val="20"/>
          <w:lang w:val="fr-FR"/>
        </w:rPr>
        <w:t xml:space="preserve">. </w:t>
      </w:r>
      <w:r w:rsidRPr="00DC24BC"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3B6C2C">
        <w:rPr>
          <w:rFonts w:cstheme="minorHAnsi"/>
          <w:i/>
          <w:color w:val="000000"/>
          <w:sz w:val="20"/>
          <w:szCs w:val="20"/>
          <w:lang w:val="fr-FR"/>
        </w:rPr>
        <w:t>Bouger en accouchant, Comment le bassin peut bouger lors de l’accouchement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. </w:t>
      </w:r>
      <w:r w:rsidRPr="003B6C2C">
        <w:rPr>
          <w:rFonts w:cstheme="minorHAnsi"/>
          <w:color w:val="000000"/>
          <w:sz w:val="20"/>
          <w:szCs w:val="20"/>
        </w:rPr>
        <w:t>ISBN 978-2-915418-36-1</w:t>
      </w:r>
    </w:p>
    <w:p w:rsidR="00C72CAA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en-US"/>
        </w:rPr>
      </w:pPr>
      <w:r w:rsidRPr="003B6C2C">
        <w:rPr>
          <w:rFonts w:cstheme="minorHAnsi"/>
          <w:color w:val="000000"/>
          <w:sz w:val="20"/>
          <w:szCs w:val="20"/>
          <w:lang w:val="en-US"/>
        </w:rPr>
        <w:t>Staubesan</w:t>
      </w:r>
      <w:r>
        <w:rPr>
          <w:rFonts w:cstheme="minorHAnsi"/>
          <w:color w:val="000000"/>
          <w:sz w:val="20"/>
          <w:szCs w:val="20"/>
          <w:lang w:val="en-US"/>
        </w:rPr>
        <w:t xml:space="preserve"> </w:t>
      </w:r>
      <w:r w:rsidRPr="003B6C2C">
        <w:rPr>
          <w:rFonts w:cstheme="minorHAnsi"/>
          <w:color w:val="000000"/>
          <w:sz w:val="20"/>
          <w:szCs w:val="20"/>
          <w:lang w:val="en-US"/>
        </w:rPr>
        <w:t xml:space="preserve">J.  </w:t>
      </w:r>
      <w:r w:rsidRPr="003B6C2C">
        <w:rPr>
          <w:rFonts w:cstheme="minorHAnsi"/>
          <w:i/>
          <w:color w:val="000000"/>
          <w:sz w:val="20"/>
          <w:szCs w:val="20"/>
          <w:lang w:val="en-US"/>
        </w:rPr>
        <w:t>Sobotta, Atlas of Human Anatomy, Volume 2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en-US"/>
        </w:rPr>
      </w:pPr>
      <w:r w:rsidRPr="003B6C2C">
        <w:rPr>
          <w:rFonts w:cstheme="minorHAnsi"/>
          <w:color w:val="000000"/>
          <w:sz w:val="20"/>
          <w:szCs w:val="20"/>
          <w:lang w:val="en-US"/>
        </w:rPr>
        <w:t>El-Radhi</w:t>
      </w:r>
      <w:r>
        <w:rPr>
          <w:rFonts w:cstheme="minorHAnsi"/>
          <w:color w:val="000000"/>
          <w:sz w:val="20"/>
          <w:szCs w:val="20"/>
          <w:lang w:val="en-US"/>
        </w:rPr>
        <w:t xml:space="preserve"> </w:t>
      </w:r>
      <w:r w:rsidRPr="003B6C2C">
        <w:rPr>
          <w:rFonts w:cstheme="minorHAnsi"/>
          <w:color w:val="000000"/>
          <w:sz w:val="20"/>
          <w:szCs w:val="20"/>
          <w:lang w:val="en-US"/>
        </w:rPr>
        <w:t>Sahib</w:t>
      </w:r>
      <w:r>
        <w:rPr>
          <w:rFonts w:cstheme="minorHAnsi"/>
          <w:color w:val="000000"/>
          <w:sz w:val="20"/>
          <w:szCs w:val="20"/>
          <w:lang w:val="en-US"/>
        </w:rPr>
        <w:t xml:space="preserve">. </w:t>
      </w:r>
      <w:r w:rsidRPr="003B6C2C">
        <w:rPr>
          <w:rFonts w:cstheme="minorHAnsi"/>
          <w:i/>
          <w:color w:val="000000"/>
          <w:sz w:val="20"/>
          <w:szCs w:val="20"/>
          <w:lang w:val="en-US"/>
        </w:rPr>
        <w:t>Paediatric Symptom Sorter</w:t>
      </w:r>
      <w:r>
        <w:rPr>
          <w:rFonts w:cstheme="minorHAnsi"/>
          <w:i/>
          <w:color w:val="000000"/>
          <w:sz w:val="20"/>
          <w:szCs w:val="20"/>
          <w:lang w:val="en-US"/>
        </w:rPr>
        <w:t xml:space="preserve">. </w:t>
      </w:r>
      <w:r w:rsidRPr="003B6C2C">
        <w:rPr>
          <w:rFonts w:cstheme="minorHAnsi"/>
          <w:color w:val="000000"/>
          <w:sz w:val="20"/>
          <w:szCs w:val="20"/>
        </w:rPr>
        <w:t>ISBN 978-1-84619-474-0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fr-FR"/>
        </w:rPr>
      </w:pPr>
      <w:r w:rsidRPr="003B6C2C">
        <w:rPr>
          <w:rFonts w:cstheme="minorHAnsi"/>
          <w:color w:val="000000"/>
          <w:sz w:val="20"/>
          <w:szCs w:val="20"/>
          <w:lang w:val="fr-FR"/>
        </w:rPr>
        <w:t xml:space="preserve">Barral Jean-Pierre. </w:t>
      </w:r>
      <w:r w:rsidRPr="003B6C2C">
        <w:rPr>
          <w:rFonts w:cstheme="minorHAnsi"/>
          <w:i/>
          <w:color w:val="000000"/>
          <w:sz w:val="20"/>
          <w:szCs w:val="20"/>
          <w:lang w:val="fr-FR"/>
        </w:rPr>
        <w:t>Nouvelles Techniques Uro-genitales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. </w:t>
      </w:r>
      <w:r w:rsidRPr="003B6C2C">
        <w:rPr>
          <w:rFonts w:cstheme="minorHAnsi"/>
          <w:color w:val="000000"/>
          <w:sz w:val="20"/>
          <w:szCs w:val="20"/>
          <w:lang w:val="fr-FR"/>
        </w:rPr>
        <w:t>ISBN 2-87644-029-6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Temmerman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DC24BC">
        <w:rPr>
          <w:rFonts w:cstheme="minorHAnsi"/>
          <w:color w:val="000000"/>
          <w:sz w:val="20"/>
          <w:szCs w:val="20"/>
        </w:rPr>
        <w:t xml:space="preserve">Marleen </w:t>
      </w:r>
      <w:r w:rsidRPr="003B6C2C">
        <w:rPr>
          <w:rFonts w:cstheme="minorHAnsi"/>
          <w:i/>
          <w:color w:val="000000"/>
          <w:sz w:val="20"/>
          <w:szCs w:val="20"/>
        </w:rPr>
        <w:t>Onrust in de onderbuik</w:t>
      </w:r>
      <w:r>
        <w:rPr>
          <w:rFonts w:cstheme="minorHAnsi"/>
          <w:i/>
          <w:color w:val="000000"/>
          <w:sz w:val="20"/>
          <w:szCs w:val="20"/>
        </w:rPr>
        <w:t xml:space="preserve"> </w:t>
      </w:r>
      <w:r w:rsidRPr="003B6C2C">
        <w:rPr>
          <w:rFonts w:cstheme="minorHAnsi"/>
          <w:color w:val="000000"/>
          <w:sz w:val="20"/>
          <w:szCs w:val="20"/>
        </w:rPr>
        <w:t>ISBN 90-5617-568-8</w:t>
      </w:r>
    </w:p>
    <w:p w:rsidR="00C72CAA" w:rsidRPr="003B6C2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/>
          <w:color w:val="000000"/>
          <w:sz w:val="20"/>
          <w:szCs w:val="20"/>
          <w:lang w:val="fr-FR"/>
        </w:rPr>
      </w:pPr>
      <w:r w:rsidRPr="003B6C2C">
        <w:rPr>
          <w:rFonts w:cstheme="minorHAnsi"/>
          <w:color w:val="000000"/>
          <w:sz w:val="20"/>
          <w:szCs w:val="20"/>
          <w:lang w:val="fr-FR"/>
        </w:rPr>
        <w:t>Schweiter</w:t>
      </w:r>
      <w:r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3B6C2C">
        <w:rPr>
          <w:rFonts w:cstheme="minorHAnsi"/>
          <w:color w:val="000000"/>
          <w:sz w:val="20"/>
          <w:szCs w:val="20"/>
          <w:lang w:val="fr-FR"/>
        </w:rPr>
        <w:t>Christine</w:t>
      </w:r>
      <w:r w:rsidRPr="00DC24BC">
        <w:rPr>
          <w:rFonts w:cstheme="minorHAnsi"/>
          <w:color w:val="000000"/>
          <w:sz w:val="20"/>
          <w:szCs w:val="20"/>
          <w:lang w:val="fr-FR"/>
        </w:rPr>
        <w:t xml:space="preserve"> </w:t>
      </w:r>
      <w:r w:rsidRPr="003B6C2C">
        <w:rPr>
          <w:rFonts w:cstheme="minorHAnsi"/>
          <w:i/>
          <w:color w:val="000000"/>
          <w:sz w:val="20"/>
          <w:szCs w:val="20"/>
          <w:lang w:val="fr-FR"/>
        </w:rPr>
        <w:t>Ostéopathie Intrapelvienne et arbre gynécologique Sexualité et identité</w:t>
      </w:r>
      <w:r>
        <w:rPr>
          <w:rFonts w:cstheme="minorHAnsi"/>
          <w:i/>
          <w:color w:val="000000"/>
          <w:sz w:val="20"/>
          <w:szCs w:val="20"/>
          <w:lang w:val="fr-FR"/>
        </w:rPr>
        <w:t xml:space="preserve"> ; </w:t>
      </w:r>
      <w:r w:rsidRPr="003B6C2C">
        <w:rPr>
          <w:rFonts w:cstheme="minorHAnsi"/>
          <w:color w:val="000000"/>
          <w:sz w:val="20"/>
          <w:szCs w:val="20"/>
          <w:lang w:val="fr-FR"/>
        </w:rPr>
        <w:t>ISBN 2-86214-067-8</w:t>
      </w:r>
    </w:p>
    <w:p w:rsidR="00C72CAA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Chen M, Coackley F, Kaimal A</w:t>
      </w:r>
      <w:r>
        <w:rPr>
          <w:rFonts w:cstheme="minorHAnsi"/>
          <w:color w:val="000000"/>
          <w:sz w:val="20"/>
          <w:szCs w:val="20"/>
          <w:lang w:val="en-US"/>
        </w:rPr>
        <w:t xml:space="preserve">. </w:t>
      </w:r>
      <w:r w:rsidRPr="003B6C2C">
        <w:rPr>
          <w:rFonts w:cstheme="minorHAnsi"/>
          <w:color w:val="000000"/>
          <w:sz w:val="20"/>
          <w:szCs w:val="20"/>
          <w:lang w:val="en-US"/>
        </w:rPr>
        <w:t>Obstetrics and Gynaecology Guidelines for computed tomography and magnetic resonance imaging use during pregnancy and lactation, 112 (2):333-340, 2008</w:t>
      </w:r>
      <w:r>
        <w:rPr>
          <w:rFonts w:cstheme="minorHAnsi"/>
          <w:color w:val="000000"/>
          <w:sz w:val="20"/>
          <w:szCs w:val="20"/>
          <w:lang w:val="en-US"/>
        </w:rPr>
        <w:t xml:space="preserve"> </w:t>
      </w:r>
      <w:r w:rsidRPr="003B6C2C">
        <w:rPr>
          <w:rFonts w:cstheme="minorHAnsi"/>
          <w:color w:val="000000"/>
          <w:sz w:val="20"/>
          <w:szCs w:val="20"/>
          <w:lang w:val="en-US"/>
        </w:rPr>
        <w:t>-Britisch Journal of Obstetrics and Gynaecology</w:t>
      </w:r>
    </w:p>
    <w:p w:rsidR="00C72CAA" w:rsidRPr="00913D62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913D62">
        <w:rPr>
          <w:rFonts w:cstheme="minorHAnsi"/>
          <w:color w:val="000000"/>
          <w:sz w:val="20"/>
          <w:szCs w:val="20"/>
          <w:lang w:val="en-US"/>
        </w:rPr>
        <w:t xml:space="preserve">Fritel X, Ringa V, Varnoux N. </w:t>
      </w:r>
      <w:r w:rsidRPr="00DC24BC">
        <w:rPr>
          <w:rFonts w:cstheme="minorHAnsi"/>
          <w:color w:val="000000"/>
          <w:sz w:val="20"/>
          <w:szCs w:val="20"/>
          <w:lang w:val="en-US"/>
        </w:rPr>
        <w:t xml:space="preserve">The Confidential Enquiry into Maternal and Child Health (CEMACH). Saving mothers’ lives: reviewing maternal deaths to make motherhood safer 2003-2005. </w:t>
      </w:r>
      <w:r w:rsidRPr="00913D62">
        <w:rPr>
          <w:rFonts w:cstheme="minorHAnsi"/>
          <w:color w:val="000000"/>
          <w:sz w:val="20"/>
          <w:szCs w:val="20"/>
          <w:lang w:val="en-US"/>
        </w:rPr>
        <w:t>- 112(2):1646-1651, 2005</w:t>
      </w:r>
    </w:p>
    <w:p w:rsidR="00C72CAA" w:rsidRPr="00DC24BC" w:rsidRDefault="00C72CAA" w:rsidP="00C72CAA">
      <w:pPr>
        <w:pStyle w:val="Lijstalinea"/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The Seventh Report on Confidential Enquiris into Maternal Deaths inthe United Kingdom, London, 2007, CEMACH.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Alfirevic Z, Devane D, Gyte G: Continuous cardiotocography (CTG) as a form of electronic fetal monitoring (EFM) for fetal assessement during labour, Cochrane Database of Systematic Reviews 2006</w:t>
      </w:r>
    </w:p>
    <w:p w:rsidR="00C72CAA" w:rsidRPr="00DC24BC" w:rsidRDefault="00C72CAA" w:rsidP="00C72CAA">
      <w:pPr>
        <w:pStyle w:val="Lijstalinea"/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- (3):CD006606, 2006.</w:t>
      </w:r>
    </w:p>
    <w:p w:rsidR="00C72CAA" w:rsidRPr="00913D62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Anderson T: The Impact of the age of risk for antenantal edycation. </w:t>
      </w:r>
      <w:r w:rsidRPr="00913D62">
        <w:rPr>
          <w:rFonts w:cstheme="minorHAnsi"/>
          <w:color w:val="000000"/>
          <w:sz w:val="20"/>
          <w:szCs w:val="20"/>
          <w:lang w:val="en-US"/>
        </w:rPr>
        <w:t xml:space="preserve">NCT conference, Coventry 13th </w:t>
      </w:r>
      <w:proofErr w:type="gramStart"/>
      <w:r w:rsidRPr="00913D62">
        <w:rPr>
          <w:rFonts w:cstheme="minorHAnsi"/>
          <w:color w:val="000000"/>
          <w:sz w:val="20"/>
          <w:szCs w:val="20"/>
          <w:lang w:val="en-US"/>
        </w:rPr>
        <w:t>March,</w:t>
      </w:r>
      <w:proofErr w:type="gramEnd"/>
      <w:r w:rsidRPr="00913D62">
        <w:rPr>
          <w:rFonts w:cstheme="minorHAnsi"/>
          <w:color w:val="000000"/>
          <w:sz w:val="20"/>
          <w:szCs w:val="20"/>
          <w:lang w:val="en-US"/>
        </w:rPr>
        <w:t xml:space="preserve"> 2004.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Blackburn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ST:Maternal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>, feta land neonatalpsychology, ed 3, Philadelphia, 2007, WB Saunders</w:t>
      </w:r>
    </w:p>
    <w:p w:rsidR="00C72CAA" w:rsidRPr="00913D62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Fullerton J, Young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S:Outcomes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of planned home burth: an integrative review, Journal of Midwifery and Womens’ Health </w:t>
      </w:r>
      <w:r w:rsidRPr="00913D62">
        <w:rPr>
          <w:rFonts w:cstheme="minorHAnsi"/>
          <w:color w:val="000000"/>
          <w:sz w:val="20"/>
          <w:szCs w:val="20"/>
          <w:lang w:val="en-US"/>
        </w:rPr>
        <w:t xml:space="preserve"> - 52(4):323-333, 2007. -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rPr>
          <w:rFonts w:cstheme="minorHAnsi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Gupta J, Kikoszm V: Woman’s position during second stage of labour (Cochrane Review), The Cochrane Library, Issue 2, Oxford, 2008, Update</w:t>
      </w:r>
    </w:p>
    <w:p w:rsidR="00C72CAA" w:rsidRPr="00913D62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252526"/>
          <w:sz w:val="20"/>
          <w:szCs w:val="20"/>
          <w:lang w:val="en-US"/>
        </w:rPr>
      </w:pPr>
      <w:r w:rsidRPr="00DC24BC">
        <w:rPr>
          <w:rFonts w:cstheme="minorHAnsi"/>
          <w:color w:val="252526"/>
          <w:sz w:val="20"/>
          <w:szCs w:val="20"/>
          <w:lang w:val="en-US"/>
        </w:rPr>
        <w:t xml:space="preserve">Emery </w:t>
      </w:r>
      <w:proofErr w:type="gramStart"/>
      <w:r w:rsidRPr="00DC24BC">
        <w:rPr>
          <w:rFonts w:cstheme="minorHAnsi"/>
          <w:color w:val="252526"/>
          <w:sz w:val="20"/>
          <w:szCs w:val="20"/>
          <w:lang w:val="en-US"/>
        </w:rPr>
        <w:t>Gene,Fish</w:t>
      </w:r>
      <w:proofErr w:type="gramEnd"/>
      <w:r w:rsidRPr="00DC24BC">
        <w:rPr>
          <w:rFonts w:cstheme="minorHAnsi"/>
          <w:color w:val="252526"/>
          <w:sz w:val="20"/>
          <w:szCs w:val="20"/>
          <w:lang w:val="en-US"/>
        </w:rPr>
        <w:t xml:space="preserve"> oil during pregnancy reduces baby's asthma risk: study</w:t>
      </w:r>
      <w:r>
        <w:rPr>
          <w:rFonts w:cstheme="minorHAnsi"/>
          <w:color w:val="252526"/>
          <w:sz w:val="20"/>
          <w:szCs w:val="20"/>
          <w:lang w:val="en-US"/>
        </w:rPr>
        <w:t xml:space="preserve"> </w:t>
      </w:r>
      <w:r w:rsidRPr="00913D62">
        <w:rPr>
          <w:rFonts w:cstheme="minorHAnsi"/>
          <w:color w:val="000000"/>
          <w:sz w:val="20"/>
          <w:szCs w:val="20"/>
          <w:lang w:val="en-US"/>
        </w:rPr>
        <w:t>SOURCE: bit.ly/2hnUqsP The New England Journal of Medicine, online December 28, 2016.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Moore ER, Anderson GC, Bergman N: Early skin-to-skin contact for mothers and their healthy newborn infants, Cochrane Database of Systematic Reviews (2):CD003519,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2007;</w:t>
      </w:r>
      <w:proofErr w:type="gramEnd"/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Nursing &amp; Midwifery Council (NMC): Record </w:t>
      </w:r>
      <w:proofErr w:type="gramStart"/>
      <w:r w:rsidRPr="00DC24BC">
        <w:rPr>
          <w:rFonts w:cstheme="minorHAnsi"/>
          <w:color w:val="000000"/>
          <w:sz w:val="20"/>
          <w:szCs w:val="20"/>
          <w:lang w:val="en-US"/>
        </w:rPr>
        <w:t>keeping: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guidance for nurses and midwives, London, 2009, NMC.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Royal College of Midwives (RCM): Third stage of labour. In Evidence-based guidelines for midwifery-led care, London, 2008, RCM. Also available at </w:t>
      </w:r>
      <w:hyperlink r:id="rId5" w:history="1">
        <w:r w:rsidRPr="00DC24BC">
          <w:rPr>
            <w:rFonts w:cstheme="minorHAnsi"/>
            <w:color w:val="0000FF"/>
            <w:sz w:val="20"/>
            <w:szCs w:val="20"/>
            <w:u w:val="single" w:color="0000FF"/>
            <w:lang w:val="en-US"/>
          </w:rPr>
          <w:t>http://www.rcm.org.uk/college/standards-and-practice-guidelines/</w:t>
        </w:r>
      </w:hyperlink>
      <w:r w:rsidRPr="00DC24BC">
        <w:rPr>
          <w:rFonts w:cstheme="minorHAnsi"/>
          <w:color w:val="000000"/>
          <w:sz w:val="20"/>
          <w:szCs w:val="20"/>
          <w:lang w:val="en-US"/>
        </w:rPr>
        <w:t xml:space="preserve">. </w:t>
      </w:r>
      <w:r w:rsidRPr="00DC24BC">
        <w:rPr>
          <w:rFonts w:cstheme="minorHAnsi"/>
          <w:color w:val="000000"/>
          <w:sz w:val="20"/>
          <w:szCs w:val="20"/>
        </w:rPr>
        <w:t>Accessed August 2010.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Sheridan V: Organisaional culture and routine midwifery practice on labour ward: implications for mother-baby contact, Evidence Based Midwifery 8(3):76-84, 2010.</w:t>
      </w:r>
    </w:p>
    <w:p w:rsidR="00C72CAA" w:rsidRPr="00111AD4" w:rsidRDefault="00C72CAA" w:rsidP="00C72CAA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World Health Organization (WHO): WHO recommendations for the prevention of postpartum haemorrhage, Geneva, 2007, WHO.</w:t>
      </w:r>
    </w:p>
    <w:p w:rsidR="00C72CAA" w:rsidRDefault="00C72CAA" w:rsidP="00C72CAA">
      <w:pPr>
        <w:numPr>
          <w:ilvl w:val="0"/>
          <w:numId w:val="1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MORGAN-CAPNER P ET AL: GUIDANCE ON THE MANAGEMENT OF &amp; EXPOSURE TO, RASH ILLNESS IN PREGNANCY. REPORT OF THE PUBLIC HEALTH LABRATORY SERVICES WORKING GROUP, INFECTIONS AZ, 200</w:t>
      </w:r>
      <w:r>
        <w:rPr>
          <w:rFonts w:cstheme="minorHAnsi"/>
          <w:color w:val="000000"/>
          <w:sz w:val="20"/>
          <w:szCs w:val="20"/>
          <w:lang w:val="en-US"/>
        </w:rPr>
        <w:t>0</w:t>
      </w:r>
    </w:p>
    <w:p w:rsidR="00C72CAA" w:rsidRPr="00111AD4" w:rsidRDefault="00C72CAA" w:rsidP="00C72CAA">
      <w:pPr>
        <w:numPr>
          <w:ilvl w:val="0"/>
          <w:numId w:val="1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lastRenderedPageBreak/>
        <w:t xml:space="preserve">TURNER </w:t>
      </w:r>
      <w:proofErr w:type="gramStart"/>
      <w:r w:rsidRPr="00111AD4">
        <w:rPr>
          <w:rFonts w:cstheme="minorHAnsi"/>
          <w:color w:val="000000"/>
          <w:sz w:val="20"/>
          <w:szCs w:val="20"/>
          <w:lang w:val="en-US"/>
        </w:rPr>
        <w:t>A;:</w:t>
      </w:r>
      <w:proofErr w:type="gramEnd"/>
      <w:r w:rsidRPr="00111AD4">
        <w:rPr>
          <w:rFonts w:cstheme="minorHAnsi"/>
          <w:color w:val="000000"/>
          <w:sz w:val="20"/>
          <w:szCs w:val="20"/>
          <w:lang w:val="en-US"/>
        </w:rPr>
        <w:t xml:space="preserve"> CAUSES, PREVENTION &amp; TREATMENT OF TOXOPLASMOSIS, BRITISH JOURNAL OF MIDWIFERY 8(11):733,2000</w:t>
      </w:r>
    </w:p>
    <w:p w:rsidR="00C72CAA" w:rsidRDefault="00C72CAA" w:rsidP="00C72CAA">
      <w:pPr>
        <w:numPr>
          <w:ilvl w:val="0"/>
          <w:numId w:val="1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HOPCROFT K ET AL.: </w:t>
      </w:r>
      <w:r w:rsidRPr="00111AD4">
        <w:rPr>
          <w:rFonts w:cstheme="minorHAnsi"/>
          <w:i/>
          <w:color w:val="000000"/>
          <w:sz w:val="20"/>
          <w:szCs w:val="20"/>
          <w:lang w:val="en-US"/>
        </w:rPr>
        <w:t xml:space="preserve">SYMPTOM </w:t>
      </w:r>
      <w:proofErr w:type="gramStart"/>
      <w:r w:rsidRPr="00111AD4">
        <w:rPr>
          <w:rFonts w:cstheme="minorHAnsi"/>
          <w:i/>
          <w:color w:val="000000"/>
          <w:sz w:val="20"/>
          <w:szCs w:val="20"/>
          <w:lang w:val="en-US"/>
        </w:rPr>
        <w:t>SORTER</w:t>
      </w:r>
      <w:r w:rsidRPr="00DC24BC">
        <w:rPr>
          <w:rFonts w:cstheme="minorHAnsi"/>
          <w:color w:val="000000"/>
          <w:sz w:val="20"/>
          <w:szCs w:val="20"/>
          <w:lang w:val="en-US"/>
        </w:rPr>
        <w:t xml:space="preserve"> ,</w:t>
      </w:r>
      <w:proofErr w:type="gramEnd"/>
      <w:r w:rsidRPr="00DC24BC">
        <w:rPr>
          <w:rFonts w:cstheme="minorHAnsi"/>
          <w:color w:val="000000"/>
          <w:sz w:val="20"/>
          <w:szCs w:val="20"/>
          <w:lang w:val="en-US"/>
        </w:rPr>
        <w:t xml:space="preserve"> 5TH EDITION, CRP PRESS, 2014 </w:t>
      </w:r>
    </w:p>
    <w:p w:rsidR="00C72CAA" w:rsidRPr="00DC24BC" w:rsidRDefault="00C72CAA" w:rsidP="00C72CAA">
      <w:pPr>
        <w:numPr>
          <w:ilvl w:val="0"/>
          <w:numId w:val="1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</w:rPr>
      </w:pPr>
      <w:r w:rsidRPr="00DC24BC">
        <w:rPr>
          <w:rFonts w:cstheme="minorHAnsi"/>
          <w:color w:val="000000"/>
          <w:sz w:val="20"/>
          <w:szCs w:val="20"/>
        </w:rPr>
        <w:t>HOFFMANN ET AL: INTERPRETATIE VAN MEDISCH LABORATORIUMONDERZOEK</w:t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rPr>
          <w:rFonts w:cstheme="minorHAnsi"/>
          <w:sz w:val="20"/>
          <w:szCs w:val="20"/>
          <w:lang w:val="nl-BE"/>
        </w:rPr>
      </w:pPr>
      <w:r w:rsidRPr="00DC24BC">
        <w:rPr>
          <w:rFonts w:cstheme="minorHAnsi"/>
          <w:color w:val="000000"/>
          <w:sz w:val="20"/>
          <w:szCs w:val="20"/>
        </w:rPr>
        <w:t>REITSMA WD ET AL: DIFFERENTIELE DIAGNOSTIEK IN DE INTERNE GENEESKUNDE, BOHN STAFLEU VAN LOGHUM</w:t>
      </w:r>
      <w:r w:rsidRPr="00DC24BC">
        <w:rPr>
          <w:rFonts w:cstheme="minorHAnsi"/>
          <w:noProof/>
          <w:sz w:val="20"/>
          <w:szCs w:val="20"/>
        </w:rPr>
        <w:t xml:space="preserve"> </w:t>
      </w:r>
      <w:r w:rsidRPr="00DC24BC">
        <w:rPr>
          <w:rFonts w:cstheme="minorHAnsi"/>
          <w:noProof/>
          <w:color w:val="000000"/>
          <w:sz w:val="20"/>
          <w:szCs w:val="20"/>
        </w:rPr>
        <w:drawing>
          <wp:inline distT="0" distB="0" distL="0" distR="0" wp14:anchorId="40836B73" wp14:editId="0CBDE0C4">
            <wp:extent cx="5756910" cy="500316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AA" w:rsidRPr="00DC24BC" w:rsidRDefault="00C72CAA" w:rsidP="00C72CAA">
      <w:pPr>
        <w:pStyle w:val="Lijstalinea"/>
        <w:numPr>
          <w:ilvl w:val="0"/>
          <w:numId w:val="1"/>
        </w:numPr>
        <w:rPr>
          <w:rFonts w:cstheme="minorHAnsi"/>
          <w:sz w:val="20"/>
          <w:szCs w:val="20"/>
          <w:lang w:val="nl-BE"/>
        </w:rPr>
      </w:pPr>
      <w:r w:rsidRPr="00DC24BC">
        <w:rPr>
          <w:rFonts w:cstheme="minorHAnsi"/>
          <w:noProof/>
          <w:sz w:val="20"/>
          <w:szCs w:val="20"/>
          <w:lang w:val="nl-BE"/>
        </w:rPr>
        <w:lastRenderedPageBreak/>
        <w:drawing>
          <wp:inline distT="0" distB="0" distL="0" distR="0" wp14:anchorId="6B646557" wp14:editId="0590A5E8">
            <wp:extent cx="5756910" cy="361886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AA" w:rsidRPr="00DC24BC" w:rsidRDefault="00C72CAA" w:rsidP="00C72CAA">
      <w:pPr>
        <w:rPr>
          <w:rFonts w:cstheme="minorHAnsi"/>
          <w:sz w:val="20"/>
          <w:szCs w:val="20"/>
          <w:lang w:val="nl-BE"/>
        </w:rPr>
      </w:pPr>
      <w:r w:rsidRPr="00DC24BC">
        <w:rPr>
          <w:rFonts w:cstheme="minorHAnsi"/>
          <w:noProof/>
          <w:sz w:val="20"/>
          <w:szCs w:val="20"/>
          <w:lang w:val="nl-BE"/>
        </w:rPr>
        <w:lastRenderedPageBreak/>
        <w:drawing>
          <wp:inline distT="0" distB="0" distL="0" distR="0" wp14:anchorId="19396CF5" wp14:editId="4B15A4E8">
            <wp:extent cx="5756910" cy="82289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AA" w:rsidRPr="00DC24BC" w:rsidRDefault="00C72CAA" w:rsidP="00C72CAA">
      <w:pPr>
        <w:rPr>
          <w:rFonts w:cstheme="minorHAnsi"/>
          <w:sz w:val="20"/>
          <w:szCs w:val="20"/>
          <w:lang w:val="nl-BE"/>
        </w:rPr>
      </w:pPr>
    </w:p>
    <w:p w:rsidR="00C72CAA" w:rsidRPr="00DC24BC" w:rsidRDefault="00C72CAA" w:rsidP="00C72CAA">
      <w:pPr>
        <w:rPr>
          <w:rFonts w:cstheme="minorHAnsi"/>
          <w:noProof/>
          <w:sz w:val="20"/>
          <w:szCs w:val="20"/>
        </w:rPr>
      </w:pPr>
      <w:r w:rsidRPr="00DC24BC">
        <w:rPr>
          <w:rFonts w:cstheme="minorHAnsi"/>
          <w:noProof/>
          <w:sz w:val="20"/>
          <w:szCs w:val="20"/>
        </w:rPr>
        <w:lastRenderedPageBreak/>
        <w:t xml:space="preserve"> </w:t>
      </w:r>
      <w:r w:rsidRPr="00DC24BC">
        <w:rPr>
          <w:rFonts w:cstheme="minorHAnsi"/>
          <w:noProof/>
          <w:sz w:val="20"/>
          <w:szCs w:val="20"/>
          <w:lang w:val="nl-BE"/>
        </w:rPr>
        <w:drawing>
          <wp:inline distT="0" distB="0" distL="0" distR="0" wp14:anchorId="18643113" wp14:editId="56BB62BE">
            <wp:extent cx="5756910" cy="82289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AA" w:rsidRPr="00DC24BC" w:rsidRDefault="00C72CAA" w:rsidP="00C72CAA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Bansil, P. (2008). Eating disorders among delivery hospitalizations: prevalence and outcome.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Journal of Women’s Health, 17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1523-1528.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lastRenderedPageBreak/>
        <w:t xml:space="preserve">Cuffo, S. (2008). Clinical implications for pregnant women in recovery from a severe eating disorder.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Dissertation Abstracts International: Section B: The Sciences and Engineering. 68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4815.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Easter, A., Treasure, J., &amp; Micali, N. (2011). Fertility and prenatal attitudes towards pregnancy in women with eating disorders: results from the Avon Longitudinal Study of Parents and Children.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British Journal Obstetry and Gynaecology, 118(12),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1491-1498.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Easter, A., Bye, A., Taborelli, E., Corfield, F., Schmidt, U., Treasure, J., &amp; Micali, N. (2013) Recognising the Symptoms: How Common Are Eating Disorders in Pregnancy?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Eurepean Eating Disorder Review, 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1002.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Hoffman, E.R., Zerwas, S.C. &amp; Bulik, C.M. (2011) Reproductive issues in anorexia nervosa.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Expert Review Obstetrics &amp; Gynecoly, 6(4)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403-414.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Leddy, M.A., Jones, C., &amp; Morgan, M.A. (2009) Eating disorders and obstetric-gynecologic care.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Journal of Womans Health, 18(9)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1395-1401.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Micali, N., &amp; Schmidt, U. (2006). Managment of eating disorders in pregnancy and the pueperium. In O’Keane, V., Marsh, M., &amp; Seneviratne, G. (Reds.)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Psychiatry Disorders and Pregnancy. 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London, Taylor &amp; Francis, 125-142.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Micali, N. &amp; Treasure, J. (2009). Biological effects of a maternal ED on pregnancy and foetal development: a review.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Eur.Eat. Disorders Rev., 17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448-454.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Micali N, Simonoff E, Stahl D, Treasure J (2011). Maternal eating disorders and infant feeding difficulties: maternal and child mediators in a longitudinal general population study. J Child Psychol Psychiatry. 52(7):800-7.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Micali, N., Northstone, K., Emmett, P., Naumann, U., &amp; Treasure, J. (2012) Nutritional intake and dietary patterns in pregnancy: a longitudinal study of women with lifetime eating disorders.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Br J Nutr., 108(11), 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2093-2099.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Micali N, De Stavola B, Ploubidis GB, Simonoff E, Treasure J. (2014) The effects of maternal eating disorders on offspring childhood and early adolescent psychiatric disorders. Int J Eat Disord. May;47(4):385-93.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Morgan, J., Reid, F., &amp; Lacey, H. (1999). The SCOFF questionnaire: assessment of a new screening tool for eating disoerders.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BMJ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319, 1467-1468.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Preti A., de Girolamo G., Vilagut G., Alonso, J., de Graaf, </w:t>
      </w:r>
      <w:proofErr w:type="gramStart"/>
      <w:r w:rsidRPr="00111AD4">
        <w:rPr>
          <w:rFonts w:cstheme="minorHAnsi"/>
          <w:color w:val="000000"/>
          <w:sz w:val="20"/>
          <w:szCs w:val="20"/>
          <w:lang w:val="en-US"/>
        </w:rPr>
        <w:t>R.,Bruffaerts</w:t>
      </w:r>
      <w:proofErr w:type="gramEnd"/>
      <w:r w:rsidRPr="00111AD4">
        <w:rPr>
          <w:rFonts w:cstheme="minorHAnsi"/>
          <w:color w:val="000000"/>
          <w:sz w:val="20"/>
          <w:szCs w:val="20"/>
          <w:lang w:val="en-US"/>
        </w:rPr>
        <w:t xml:space="preserve"> R., Demyttenaere, K., Pinto-Meza, J., Haro, J.M., Morosini, P., (2009). The epidemiology of eating disorders in six European countries: Results of the ESEMeD-WMH project.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Journal of Psychiatric Research, 43(14), 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1125-1132. 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>Solmi F,</w:t>
      </w:r>
    </w:p>
    <w:p w:rsidR="00C72CAA" w:rsidRPr="00DC24BC" w:rsidRDefault="00C72CAA" w:rsidP="00C72CAA">
      <w:pPr>
        <w:rPr>
          <w:rFonts w:cstheme="minorHAnsi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Jensen D, Wolfe LA, Slatkovska L, et al: Effects of human pregnancy on the ventilator chemoreflex response to carbon dioxide,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American Journal of Physiology </w:t>
      </w:r>
      <w:proofErr w:type="gramStart"/>
      <w:r w:rsidRPr="00111AD4">
        <w:rPr>
          <w:rFonts w:cstheme="minorHAnsi"/>
          <w:color w:val="000000"/>
          <w:sz w:val="20"/>
          <w:szCs w:val="20"/>
          <w:lang w:val="en-US"/>
        </w:rPr>
        <w:t>288:R</w:t>
      </w:r>
      <w:proofErr w:type="gramEnd"/>
      <w:r w:rsidRPr="00111AD4">
        <w:rPr>
          <w:rFonts w:cstheme="minorHAnsi"/>
          <w:color w:val="000000"/>
          <w:sz w:val="20"/>
          <w:szCs w:val="20"/>
          <w:lang w:val="en-US"/>
        </w:rPr>
        <w:t>1375, 2005.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Johnson MR, Okokon E, Collins WP, et al: The effect of human chorionic gonadotrophin and pregnancy on the circulating level of relaxin,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Journal of Clinical Endocrinology and Metabolism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 72(5):1042-1047, 1991.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Joyner J, Neves LAA, Granger JP, et al: Temporal-spatial expression of ANG-(1-7) and angiotensin-converting enzyme 2 in the kidney of normal and hypertensive rats,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American Journal of Physiology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 </w:t>
      </w:r>
      <w:proofErr w:type="gramStart"/>
      <w:r w:rsidRPr="00111AD4">
        <w:rPr>
          <w:rFonts w:cstheme="minorHAnsi"/>
          <w:color w:val="000000"/>
          <w:sz w:val="20"/>
          <w:szCs w:val="20"/>
          <w:lang w:val="en-US"/>
        </w:rPr>
        <w:t>293:R</w:t>
      </w:r>
      <w:proofErr w:type="gramEnd"/>
      <w:r w:rsidRPr="00111AD4">
        <w:rPr>
          <w:rFonts w:cstheme="minorHAnsi"/>
          <w:color w:val="000000"/>
          <w:sz w:val="20"/>
          <w:szCs w:val="20"/>
          <w:lang w:val="en-US"/>
        </w:rPr>
        <w:t>169-R177, 2007.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Khraibi AA, Yu T, Tang D: Role of nitric oxide in the natriuretic and diuretic responses in pregnant rats,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American Journal of Physiology </w:t>
      </w:r>
      <w:proofErr w:type="gramStart"/>
      <w:r w:rsidRPr="00111AD4">
        <w:rPr>
          <w:rFonts w:cstheme="minorHAnsi"/>
          <w:color w:val="000000"/>
          <w:sz w:val="20"/>
          <w:szCs w:val="20"/>
          <w:lang w:val="en-US"/>
        </w:rPr>
        <w:t>258:F</w:t>
      </w:r>
      <w:proofErr w:type="gramEnd"/>
      <w:r w:rsidRPr="00111AD4">
        <w:rPr>
          <w:rFonts w:cstheme="minorHAnsi"/>
          <w:color w:val="000000"/>
          <w:sz w:val="20"/>
          <w:szCs w:val="20"/>
          <w:lang w:val="en-US"/>
        </w:rPr>
        <w:t>938-F944, 2003.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Kristiansson P, Wang JX: reproductive hormones and blood pressure during pregnancy,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Human Reproduction </w:t>
      </w:r>
      <w:r w:rsidRPr="00111AD4">
        <w:rPr>
          <w:rFonts w:cstheme="minorHAnsi"/>
          <w:color w:val="000000"/>
          <w:sz w:val="20"/>
          <w:szCs w:val="20"/>
          <w:lang w:val="en-US"/>
        </w:rPr>
        <w:t>16(1):13-17, 2001.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Novak J, Danielson LA, Kerchner LJ, et al: Relaxin is essential for renal vasodilation during pregnancy in conscious rats,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Journal of Clinical Investigation </w:t>
      </w:r>
      <w:r w:rsidRPr="00111AD4">
        <w:rPr>
          <w:rFonts w:cstheme="minorHAnsi"/>
          <w:color w:val="000000"/>
          <w:sz w:val="20"/>
          <w:szCs w:val="20"/>
          <w:lang w:val="en-US"/>
        </w:rPr>
        <w:t>107(11):1469-1475, 2001.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Poppas A, Shroff SG, Korcarz CE, et al: Serial assessment of cardiovascular system in normal pregnancy: role of arterial compliance and pulsatile arterial load,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Circulation </w:t>
      </w:r>
      <w:r w:rsidRPr="00111AD4">
        <w:rPr>
          <w:rFonts w:cstheme="minorHAnsi"/>
          <w:color w:val="000000"/>
          <w:sz w:val="20"/>
          <w:szCs w:val="20"/>
          <w:lang w:val="en-US"/>
        </w:rPr>
        <w:t>95:2407-2415, 1997.</w:t>
      </w: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JRomen Y, Masaki DI, Mittelmark RA/ Phsyiological and endocrine adjustments to pregnancy. In Mittelmark RA, Wiswell RA, editors: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Exercise in pregnancy</w:t>
      </w:r>
      <w:r w:rsidRPr="00111AD4">
        <w:rPr>
          <w:rFonts w:cstheme="minorHAnsi"/>
          <w:color w:val="000000"/>
          <w:sz w:val="20"/>
          <w:szCs w:val="20"/>
          <w:lang w:val="en-US"/>
        </w:rPr>
        <w:t>, Baltimore, 1991, Williams and Wilkins, pp 9_29.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Spaanderman MEA, Meertens M, Van Bussell M, et al: Cardiac output increases in dependently of basal metabolic rate in early pregnancy,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American Journal of Physiology </w:t>
      </w:r>
      <w:r w:rsidRPr="00111AD4">
        <w:rPr>
          <w:rFonts w:cstheme="minorHAnsi"/>
          <w:color w:val="000000"/>
          <w:sz w:val="20"/>
          <w:szCs w:val="20"/>
          <w:lang w:val="en-US"/>
        </w:rPr>
        <w:t>278:H1585-H1588, 2000.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Stanton BA, Koeppen BM: The kidney. In Berne RM, Levy MN, editors: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Physiology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, St Louis, 1993, Mosby </w:t>
      </w:r>
      <w:proofErr w:type="gramStart"/>
      <w:r w:rsidRPr="00111AD4">
        <w:rPr>
          <w:rFonts w:cstheme="minorHAnsi"/>
          <w:color w:val="000000"/>
          <w:sz w:val="20"/>
          <w:szCs w:val="20"/>
          <w:lang w:val="en-US"/>
        </w:rPr>
        <w:t>Year Book</w:t>
      </w:r>
      <w:proofErr w:type="gramEnd"/>
      <w:r w:rsidRPr="00111AD4">
        <w:rPr>
          <w:rFonts w:cstheme="minorHAnsi"/>
          <w:color w:val="000000"/>
          <w:sz w:val="20"/>
          <w:szCs w:val="20"/>
          <w:lang w:val="en-US"/>
        </w:rPr>
        <w:t>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Steer PJ, The genital system. In Hytten F, Chamberlain G, editors: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Clinical Physiology in Obstetrics</w:t>
      </w:r>
      <w:r w:rsidRPr="00111AD4">
        <w:rPr>
          <w:rFonts w:cstheme="minorHAnsi"/>
          <w:color w:val="000000"/>
          <w:sz w:val="20"/>
          <w:szCs w:val="20"/>
          <w:lang w:val="en-US"/>
        </w:rPr>
        <w:t>, Oxford, 1991, Blackwell Scientific, pp 303-344.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Szmuilowicz ED, Adler GK, Williams JS, et al: Relation between aldostetrone and progesterone in the human menstrual cycle,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Journal of Endocrinology and Metabolism </w:t>
      </w:r>
      <w:r w:rsidRPr="00111AD4">
        <w:rPr>
          <w:rFonts w:cstheme="minorHAnsi"/>
          <w:color w:val="000000"/>
          <w:sz w:val="20"/>
          <w:szCs w:val="20"/>
          <w:lang w:val="en-US"/>
        </w:rPr>
        <w:t>91510):3981)3987, 2006.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Volman MNM, Rep A, Kadzinska I, et al: Haemodynamic changes in the second half of pregnancy: a longitudinal, noninvasive study with thoracic electrical bioimpedance,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BJOG </w:t>
      </w:r>
      <w:r w:rsidRPr="00111AD4">
        <w:rPr>
          <w:rFonts w:cstheme="minorHAnsi"/>
          <w:color w:val="000000"/>
          <w:sz w:val="20"/>
          <w:szCs w:val="20"/>
          <w:lang w:val="en-US"/>
        </w:rPr>
        <w:t>114(5):576-581, 2007.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111AD4" w:rsidRDefault="00C72CAA" w:rsidP="00C72CAA">
      <w:pPr>
        <w:pStyle w:val="Lijstalinea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 xml:space="preserve">Williams MR, Westerman RA, Kingwell BA: Variations in endothelial function and arterial compliance during the menstrual cycle, </w:t>
      </w:r>
      <w:r w:rsidRPr="00111AD4">
        <w:rPr>
          <w:rFonts w:cstheme="minorHAnsi"/>
          <w:i/>
          <w:iCs/>
          <w:color w:val="000000"/>
          <w:sz w:val="20"/>
          <w:szCs w:val="20"/>
          <w:lang w:val="en-US"/>
        </w:rPr>
        <w:t>Journal of Clinical Endocrinology and Metabolism</w:t>
      </w:r>
      <w:r w:rsidRPr="00111AD4">
        <w:rPr>
          <w:rFonts w:cstheme="minorHAnsi"/>
          <w:color w:val="000000"/>
          <w:sz w:val="20"/>
          <w:szCs w:val="20"/>
          <w:lang w:val="en-US"/>
        </w:rPr>
        <w:t xml:space="preserve"> 86(11):5389-5395, 2001.</w:t>
      </w:r>
    </w:p>
    <w:p w:rsidR="00C72CAA" w:rsidRPr="00DC24BC" w:rsidRDefault="00C72CAA" w:rsidP="00C72CAA">
      <w:pPr>
        <w:numPr>
          <w:ilvl w:val="0"/>
          <w:numId w:val="3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Antsaklis A, Dkalaki G, Mesogitis S, et al: Prenatal diagnosis of fetal prmary CMV infection BJOG: An International Journal of Obstetrics and Gynaecology 107(1): 84-88, 2000.</w:t>
      </w:r>
    </w:p>
    <w:p w:rsidR="00C72CAA" w:rsidRPr="00DC24BC" w:rsidRDefault="00C72CAA" w:rsidP="00C72CAA">
      <w:pPr>
        <w:numPr>
          <w:ilvl w:val="0"/>
          <w:numId w:val="3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Chudleigh T, Thilaganathan B: Obstetric ultrasound: how, why and when, ed 3, Edinburgh, 2004, Elsevier.</w:t>
      </w:r>
    </w:p>
    <w:p w:rsidR="00C72CAA" w:rsidRPr="00DC24BC" w:rsidRDefault="00C72CAA" w:rsidP="00C72CAA">
      <w:pPr>
        <w:numPr>
          <w:ilvl w:val="0"/>
          <w:numId w:val="3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Department of Health (DH): Family origin questionnaire, NHS antenatal and newborn screening programs, London, 2007, DH.</w:t>
      </w:r>
    </w:p>
    <w:p w:rsidR="00C72CAA" w:rsidRPr="00DC24BC" w:rsidRDefault="00C72CAA" w:rsidP="00C72CAA">
      <w:pPr>
        <w:numPr>
          <w:ilvl w:val="0"/>
          <w:numId w:val="3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Heazell A, Froen J: Methods of fetal movement counting and the detection of fetal compromise, JoUrnal of Obstetrics and Gynaecology 28(2): 147-154, 2008.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ind w:left="700" w:hanging="70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Hoffbrand A, Moss P, Pettit J: Essential haematology, ed 5, London, 2006, Blackwell Scientific.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Letksy E: Blood volume, haematinics, anaemia. Chapter 2. In de Swiet M, editor Medical disorders in obstetric practice, ed 4, Oxford 2002, Blackwel</w:t>
      </w:r>
    </w:p>
    <w:p w:rsidR="00C72CAA" w:rsidRPr="00111AD4" w:rsidRDefault="00C72CAA" w:rsidP="00C72CAA">
      <w:pPr>
        <w:pStyle w:val="Lijstalinea"/>
        <w:numPr>
          <w:ilvl w:val="0"/>
          <w:numId w:val="2"/>
        </w:numPr>
        <w:rPr>
          <w:rFonts w:cstheme="minorHAnsi"/>
          <w:sz w:val="20"/>
          <w:szCs w:val="20"/>
          <w:lang w:val="en-US"/>
        </w:rPr>
      </w:pPr>
      <w:r w:rsidRPr="00111AD4">
        <w:rPr>
          <w:rFonts w:cstheme="minorHAnsi"/>
          <w:color w:val="000000"/>
          <w:sz w:val="20"/>
          <w:szCs w:val="20"/>
          <w:lang w:val="en-US"/>
        </w:rPr>
        <w:t>Weisz B, Pandya P, David A, et al: Ultrasound findings after screening for Down syndrome using the integrated test, Obstetrics &amp; Gynecology 109 (5): 1046-1052, 2007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Zlatnik F, Yankowitz J, Whitham J, et al: Vaginal ultrasound as an adjunct to cervical digital examination in women at risk of early delivery, Gynecologie &amp; Obstetric Investigation 51(1): 12-16, 2000.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ind w:left="700" w:hanging="70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lastRenderedPageBreak/>
        <w:t>MacKenzie I, Selinger M, Bowell P: Management of red cell isoimmunisation in the 1990s. In Studd J, editor: Progress in obstetric and gynaecology, Vol. 9, Edinburgh, 1991, Churchill Livingstone.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ind w:left="700" w:hanging="70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>National Institute for Clinical Excellence (NICE): Antenatal care: routine care for the healthy pregnant woman, NICE clinical guideline 62, London, 2008, NICE.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spacing w:after="840"/>
        <w:ind w:left="700" w:hanging="70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Weekes ARL, Flynn MJ: Engagement of the fetal head in primigravidae and its relationship to the duration of gestation and time of onset of labour, </w:t>
      </w:r>
      <w:r w:rsidRPr="00DC24BC">
        <w:rPr>
          <w:rFonts w:cstheme="minorHAnsi"/>
          <w:i/>
          <w:iCs/>
          <w:color w:val="000000"/>
          <w:sz w:val="20"/>
          <w:szCs w:val="20"/>
          <w:lang w:val="en-US"/>
        </w:rPr>
        <w:t>British Journal of Obstetrics and Gynaecology</w:t>
      </w:r>
      <w:r w:rsidRPr="00DC24BC">
        <w:rPr>
          <w:rFonts w:cstheme="minorHAnsi"/>
          <w:color w:val="000000"/>
          <w:sz w:val="20"/>
          <w:szCs w:val="20"/>
          <w:lang w:val="en-US"/>
        </w:rPr>
        <w:t xml:space="preserve"> 82(1):7-11, 1975.</w:t>
      </w:r>
    </w:p>
    <w:p w:rsidR="00C72CAA" w:rsidRPr="00DC24BC" w:rsidRDefault="00C72CAA" w:rsidP="00C72CAA">
      <w:pPr>
        <w:numPr>
          <w:ilvl w:val="0"/>
          <w:numId w:val="2"/>
        </w:numPr>
        <w:tabs>
          <w:tab w:val="left" w:pos="20"/>
          <w:tab w:val="left" w:pos="700"/>
        </w:tabs>
        <w:autoSpaceDE w:val="0"/>
        <w:autoSpaceDN w:val="0"/>
        <w:adjustRightInd w:val="0"/>
        <w:ind w:left="700" w:hanging="700"/>
        <w:rPr>
          <w:rFonts w:cstheme="minorHAnsi"/>
          <w:color w:val="000000"/>
          <w:sz w:val="20"/>
          <w:szCs w:val="20"/>
          <w:lang w:val="en-US"/>
        </w:rPr>
      </w:pPr>
      <w:r w:rsidRPr="00DC24BC">
        <w:rPr>
          <w:rFonts w:cstheme="minorHAnsi"/>
          <w:color w:val="000000"/>
          <w:sz w:val="20"/>
          <w:szCs w:val="20"/>
          <w:lang w:val="en-US"/>
        </w:rPr>
        <w:t xml:space="preserve">Wellock VK, Crichton MA: Understanding pregnant women’s experiences of symphysis pubis dysfunction: the effect of the pain, </w:t>
      </w:r>
      <w:r w:rsidRPr="00DC24BC">
        <w:rPr>
          <w:rFonts w:cstheme="minorHAnsi"/>
          <w:i/>
          <w:iCs/>
          <w:color w:val="000000"/>
          <w:sz w:val="20"/>
          <w:szCs w:val="20"/>
          <w:lang w:val="en-US"/>
        </w:rPr>
        <w:t xml:space="preserve">Evidence Based Midwifery </w:t>
      </w:r>
      <w:r w:rsidRPr="00DC24BC">
        <w:rPr>
          <w:rFonts w:cstheme="minorHAnsi"/>
          <w:color w:val="000000"/>
          <w:sz w:val="20"/>
          <w:szCs w:val="20"/>
          <w:lang w:val="en-US"/>
        </w:rPr>
        <w:t>5(2):40-46, 2007.</w:t>
      </w:r>
    </w:p>
    <w:p w:rsidR="00C72CAA" w:rsidRPr="00DC24BC" w:rsidRDefault="00C72CAA" w:rsidP="00C72CA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C72CAA" w:rsidRPr="00DC24BC" w:rsidRDefault="00C72CAA" w:rsidP="00C72CAA">
      <w:pPr>
        <w:rPr>
          <w:rFonts w:cstheme="minorHAnsi"/>
          <w:sz w:val="20"/>
          <w:szCs w:val="20"/>
          <w:lang w:val="en-US"/>
        </w:rPr>
      </w:pPr>
    </w:p>
    <w:p w:rsidR="006B15BE" w:rsidRDefault="00C72CAA"/>
    <w:sectPr w:rsidR="006B15BE" w:rsidSect="00A068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2AE4D07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A4B6FF5"/>
    <w:multiLevelType w:val="hybridMultilevel"/>
    <w:tmpl w:val="943E80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43CDD"/>
    <w:multiLevelType w:val="hybridMultilevel"/>
    <w:tmpl w:val="34B09E9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CAA"/>
    <w:rsid w:val="00024B73"/>
    <w:rsid w:val="003D77B9"/>
    <w:rsid w:val="00AF6FDE"/>
    <w:rsid w:val="00B1104F"/>
    <w:rsid w:val="00C7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AD7E71A-D9F2-CB41-BE38-4FCA5306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72CAA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72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www.rcm.org.uk/college/standards-and-practice-guidelines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2280</Words>
  <Characters>12545</Characters>
  <Application>Microsoft Office Word</Application>
  <DocSecurity>0</DocSecurity>
  <Lines>104</Lines>
  <Paragraphs>29</Paragraphs>
  <ScaleCrop>false</ScaleCrop>
  <Company/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van stee</dc:creator>
  <cp:keywords/>
  <dc:description/>
  <cp:lastModifiedBy>wouter van stee</cp:lastModifiedBy>
  <cp:revision>1</cp:revision>
  <dcterms:created xsi:type="dcterms:W3CDTF">2020-11-27T16:58:00Z</dcterms:created>
  <dcterms:modified xsi:type="dcterms:W3CDTF">2020-11-27T16:59:00Z</dcterms:modified>
</cp:coreProperties>
</file>